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C6A8F">
      <w:pPr>
        <w:keepNext w:val="0"/>
        <w:keepLines w:val="0"/>
        <w:pageBreakBefore w:val="0"/>
        <w:widowControl w:val="0"/>
        <w:kinsoku/>
        <w:wordWrap/>
        <w:overflowPunct/>
        <w:topLinePunct w:val="0"/>
        <w:autoSpaceDE/>
        <w:autoSpaceDN/>
        <w:bidi w:val="0"/>
        <w:adjustRightInd/>
        <w:snapToGrid/>
        <w:spacing w:before="1309" w:beforeLines="400" w:line="1000" w:lineRule="exact"/>
        <w:ind w:left="0" w:leftChars="0" w:right="0" w:rightChars="0" w:firstLine="0" w:firstLineChars="0"/>
        <w:jc w:val="distribute"/>
        <w:textAlignment w:val="auto"/>
        <w:outlineLvl w:val="9"/>
        <w:rPr>
          <w:rFonts w:hint="default" w:ascii="Times New Roman" w:hAnsi="Times New Roman" w:eastAsia="方正小标宋简体" w:cs="Times New Roman"/>
          <w:color w:val="FF0000"/>
          <w:spacing w:val="-20"/>
          <w:w w:val="66"/>
          <w:sz w:val="130"/>
          <w:szCs w:val="130"/>
        </w:rPr>
      </w:pPr>
      <w:r>
        <w:rPr>
          <w:rFonts w:hint="default" w:ascii="Times New Roman" w:hAnsi="Times New Roman" w:eastAsia="方正小标宋简体" w:cs="Times New Roman"/>
          <w:color w:val="FF0000"/>
          <w:spacing w:val="-20"/>
          <w:w w:val="66"/>
          <w:sz w:val="130"/>
          <w:szCs w:val="130"/>
        </w:rPr>
        <w:t>西藏索县人民政府</w:t>
      </w:r>
    </w:p>
    <w:p w14:paraId="4228393E">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mc:AlternateContent>
          <mc:Choice Requires="wpg">
            <w:drawing>
              <wp:anchor distT="0" distB="0" distL="114300" distR="114300" simplePos="0" relativeHeight="251659264" behindDoc="0" locked="0" layoutInCell="1" allowOverlap="1">
                <wp:simplePos x="0" y="0"/>
                <wp:positionH relativeFrom="column">
                  <wp:posOffset>-145415</wp:posOffset>
                </wp:positionH>
                <wp:positionV relativeFrom="paragraph">
                  <wp:posOffset>137795</wp:posOffset>
                </wp:positionV>
                <wp:extent cx="5565775" cy="76200"/>
                <wp:effectExtent l="0" t="2540" r="15875" b="16510"/>
                <wp:wrapNone/>
                <wp:docPr id="6" name="组合 2"/>
                <wp:cNvGraphicFramePr/>
                <a:graphic xmlns:a="http://schemas.openxmlformats.org/drawingml/2006/main">
                  <a:graphicData uri="http://schemas.microsoft.com/office/word/2010/wordprocessingGroup">
                    <wpg:wgp>
                      <wpg:cNvGrpSpPr/>
                      <wpg:grpSpPr>
                        <a:xfrm>
                          <a:off x="0" y="0"/>
                          <a:ext cx="5565775" cy="76200"/>
                          <a:chOff x="1757" y="3465"/>
                          <a:chExt cx="8397" cy="109"/>
                        </a:xfrm>
                      </wpg:grpSpPr>
                      <wps:wsp>
                        <wps:cNvPr id="4" name="自选图形 3"/>
                        <wps:cNvCnPr/>
                        <wps:spPr>
                          <a:xfrm>
                            <a:off x="1761" y="3465"/>
                            <a:ext cx="8393" cy="0"/>
                          </a:xfrm>
                          <a:prstGeom prst="straightConnector1">
                            <a:avLst/>
                          </a:prstGeom>
                          <a:ln w="41275" cap="flat" cmpd="sng">
                            <a:solidFill>
                              <a:srgbClr val="FF0000"/>
                            </a:solidFill>
                            <a:prstDash val="solid"/>
                            <a:headEnd type="none" w="med" len="med"/>
                            <a:tailEnd type="none" w="med" len="med"/>
                          </a:ln>
                        </wps:spPr>
                        <wps:bodyPr/>
                      </wps:wsp>
                      <wps:wsp>
                        <wps:cNvPr id="5" name="自选图形 4"/>
                        <wps:cNvCnPr/>
                        <wps:spPr>
                          <a:xfrm flipV="1">
                            <a:off x="1757" y="3574"/>
                            <a:ext cx="8392" cy="0"/>
                          </a:xfrm>
                          <a:prstGeom prst="straightConnector1">
                            <a:avLst/>
                          </a:prstGeom>
                          <a:ln w="15875" cap="flat" cmpd="sng">
                            <a:solidFill>
                              <a:srgbClr val="FF0000"/>
                            </a:solidFill>
                            <a:prstDash val="solid"/>
                            <a:headEnd type="none" w="med" len="med"/>
                            <a:tailEnd type="none" w="med" len="med"/>
                          </a:ln>
                        </wps:spPr>
                        <wps:bodyPr/>
                      </wps:wsp>
                    </wpg:wgp>
                  </a:graphicData>
                </a:graphic>
              </wp:anchor>
            </w:drawing>
          </mc:Choice>
          <mc:Fallback>
            <w:pict>
              <v:group id="组合 2" o:spid="_x0000_s1026" o:spt="203" style="position:absolute;left:0pt;margin-left:-11.45pt;margin-top:10.85pt;height:6pt;width:438.25pt;z-index:251659264;mso-width-relative:page;mso-height-relative:page;" coordorigin="1757,3465" coordsize="8397,109" o:gfxdata="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OwDoRfaAAAACQEAAA8AAAAAAAAAAQAgAAAAIgAAAGRycy9kb3ducmV2Lnht&#10;bFBLAQIUABQAAAAIAIdO4kBUxgX0ogIAACgHAAAOAAAAAAAAAAEAIAAAACkBAABkcnMvZTJvRG9j&#10;LnhtbFBLBQYAAAAABgAGAFkBAAA9BgAAAAA=&#10;">
                <o:lock v:ext="edit" aspectratio="f"/>
                <v:shape id="自选图形 3" o:spid="_x0000_s1026" o:spt="32" type="#_x0000_t32" style="position:absolute;left:1761;top:3465;height:0;width:8393;" filled="f" stroked="t" coordsize="21600,21600" o:gfxdata="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swAd7sAAADa&#10;AAAADwAAAAAAAAABACAAAAAiAAAAZHJzL2Rvd25yZXYueG1sUEsBAhQAFAAAAAgAh07iQDMvBZ47&#10;AAAAOQAAABAAAAAAAAAAAQAgAAAACgEAAGRycy9zaGFwZXhtbC54bWxQSwUGAAAAAAYABgBbAQAA&#10;tAMAAAAA&#10;">
                  <v:fill on="f" focussize="0,0"/>
                  <v:stroke weight="3.25pt" color="#FF0000" joinstyle="round"/>
                  <v:imagedata o:title=""/>
                  <o:lock v:ext="edit" aspectratio="f"/>
                </v:shape>
                <v:shape id="自选图形 4" o:spid="_x0000_s1026" o:spt="32" type="#_x0000_t32" style="position:absolute;left:1757;top:3574;flip:y;height:0;width:8392;" filled="f" stroked="t" coordsize="21600,21600" o:gfxdata="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jMHr4A&#10;AADaAAAADwAAAAAAAAABACAAAAAiAAAAZHJzL2Rvd25yZXYueG1sUEsBAhQAFAAAAAgAh07iQDMv&#10;BZ47AAAAOQAAABAAAAAAAAAAAQAgAAAADQEAAGRycy9zaGFwZXhtbC54bWxQSwUGAAAAAAYABgBb&#10;AQAAtwMAAAAA&#10;">
                  <v:fill on="f" focussize="0,0"/>
                  <v:stroke weight="1.25pt" color="#FF0000" joinstyle="round"/>
                  <v:imagedata o:title=""/>
                  <o:lock v:ext="edit" aspectratio="f"/>
                </v:shape>
              </v:group>
            </w:pict>
          </mc:Fallback>
        </mc:AlternateContent>
      </w:r>
    </w:p>
    <w:p w14:paraId="03F88196">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val="en-US" w:eastAsia="zh-CN"/>
        </w:rPr>
      </w:pPr>
    </w:p>
    <w:p w14:paraId="26AC411E">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val="en-US" w:eastAsia="zh-CN"/>
        </w:rPr>
      </w:pPr>
      <w:bookmarkStart w:id="0" w:name="_GoBack"/>
      <w:r>
        <w:rPr>
          <w:rFonts w:hint="eastAsia" w:ascii="Times New Roman" w:hAnsi="Times New Roman" w:eastAsia="方正小标宋简体" w:cs="Times New Roman"/>
          <w:color w:val="auto"/>
          <w:sz w:val="44"/>
          <w:szCs w:val="44"/>
          <w:lang w:val="en-US" w:eastAsia="zh-CN"/>
        </w:rPr>
        <w:t>索县人民政府</w:t>
      </w:r>
    </w:p>
    <w:p w14:paraId="5030B798">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关于索县本级2024年财政</w:t>
      </w:r>
    </w:p>
    <w:p w14:paraId="644F44BD">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预算调整方案（草案）的报告</w:t>
      </w:r>
    </w:p>
    <w:bookmarkEnd w:id="0"/>
    <w:p w14:paraId="146B5092">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p>
    <w:p w14:paraId="667FE644">
      <w:pPr>
        <w:keepNext w:val="0"/>
        <w:keepLines w:val="0"/>
        <w:pageBreakBefore w:val="0"/>
        <w:widowControl w:val="0"/>
        <w:kinsoku/>
        <w:wordWrap/>
        <w:overflowPunct w:val="0"/>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县人大常务委员会</w:t>
      </w:r>
      <w:r>
        <w:rPr>
          <w:rFonts w:hint="default" w:ascii="Times New Roman" w:hAnsi="Times New Roman" w:eastAsia="仿宋_GB2312" w:cs="Times New Roman"/>
          <w:color w:val="auto"/>
          <w:sz w:val="32"/>
          <w:szCs w:val="32"/>
          <w:lang w:val="en-US" w:eastAsia="zh-CN"/>
        </w:rPr>
        <w:t>：</w:t>
      </w:r>
    </w:p>
    <w:p w14:paraId="2DBF927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根据《中华人民共和国预算法》第六十七条之规定，在预算执行中出现需要增加或减少预算总支出的、需要调入预算稳定调节基金的、需要调减预算安排的重点支出数额的、需要增加举借债务数额等情形之一的，应当进行预算调整。</w:t>
      </w:r>
    </w:p>
    <w:p w14:paraId="6EDAD04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经核准，现阶段我县财政预算执行情况与索县十三届人民代表大会第五次会议批准的预算相比，县本级一般公共预算收入总量调整至216507.08万元（新增一般债务转贷11465万元），政府性基金预算收入总量调整至6116.33万元，国有资本经营预算收入总量0.21万元，与年初一致。相应增加预算总支出。</w:t>
      </w:r>
    </w:p>
    <w:p w14:paraId="5B1E2A4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color w:val="auto"/>
          <w:sz w:val="32"/>
          <w:szCs w:val="32"/>
          <w:lang w:val="en-US" w:eastAsia="zh-CN"/>
        </w:rPr>
        <mc:AlternateContent>
          <mc:Choice Requires="wpg">
            <w:drawing>
              <wp:anchor distT="0" distB="0" distL="114300" distR="114300" simplePos="0" relativeHeight="251660288" behindDoc="1" locked="0" layoutInCell="1" allowOverlap="1">
                <wp:simplePos x="0" y="0"/>
                <wp:positionH relativeFrom="column">
                  <wp:posOffset>-18415</wp:posOffset>
                </wp:positionH>
                <wp:positionV relativeFrom="paragraph">
                  <wp:posOffset>811530</wp:posOffset>
                </wp:positionV>
                <wp:extent cx="5568950" cy="76200"/>
                <wp:effectExtent l="0" t="7620" r="12700" b="30480"/>
                <wp:wrapThrough wrapText="bothSides">
                  <wp:wrapPolygon>
                    <wp:start x="21600" y="23760"/>
                    <wp:lineTo x="21600" y="-1440"/>
                    <wp:lineTo x="99" y="-1440"/>
                    <wp:lineTo x="99" y="23760"/>
                    <wp:lineTo x="21600" y="23760"/>
                  </wp:wrapPolygon>
                </wp:wrapThrough>
                <wp:docPr id="2" name="组合 11"/>
                <wp:cNvGraphicFramePr/>
                <a:graphic xmlns:a="http://schemas.openxmlformats.org/drawingml/2006/main">
                  <a:graphicData uri="http://schemas.microsoft.com/office/word/2010/wordprocessingGroup">
                    <wpg:wgp>
                      <wpg:cNvGrpSpPr/>
                      <wpg:grpSpPr>
                        <a:xfrm rot="10800000">
                          <a:off x="0" y="0"/>
                          <a:ext cx="5568950" cy="76200"/>
                          <a:chOff x="1752" y="3465"/>
                          <a:chExt cx="8402" cy="109"/>
                        </a:xfrm>
                      </wpg:grpSpPr>
                      <wps:wsp>
                        <wps:cNvPr id="1" name="自选图形 12"/>
                        <wps:cNvCnPr/>
                        <wps:spPr>
                          <a:xfrm>
                            <a:off x="1761" y="3465"/>
                            <a:ext cx="8393" cy="0"/>
                          </a:xfrm>
                          <a:prstGeom prst="straightConnector1">
                            <a:avLst/>
                          </a:prstGeom>
                          <a:ln w="41275" cap="flat" cmpd="sng">
                            <a:solidFill>
                              <a:srgbClr val="FF0000"/>
                            </a:solidFill>
                            <a:prstDash val="solid"/>
                            <a:headEnd type="none" w="med" len="med"/>
                            <a:tailEnd type="none" w="med" len="med"/>
                          </a:ln>
                        </wps:spPr>
                        <wps:bodyPr/>
                      </wps:wsp>
                      <wps:wsp>
                        <wps:cNvPr id="3" name="自选图形 13"/>
                        <wps:cNvCnPr/>
                        <wps:spPr>
                          <a:xfrm flipV="1">
                            <a:off x="1752" y="3574"/>
                            <a:ext cx="8393" cy="0"/>
                          </a:xfrm>
                          <a:prstGeom prst="straightConnector1">
                            <a:avLst/>
                          </a:prstGeom>
                          <a:ln w="15875" cap="flat" cmpd="sng">
                            <a:solidFill>
                              <a:srgbClr val="FF0000"/>
                            </a:solidFill>
                            <a:prstDash val="solid"/>
                            <a:headEnd type="none" w="med" len="med"/>
                            <a:tailEnd type="none" w="med" len="med"/>
                          </a:ln>
                        </wps:spPr>
                        <wps:bodyPr/>
                      </wps:wsp>
                    </wpg:wgp>
                  </a:graphicData>
                </a:graphic>
              </wp:anchor>
            </w:drawing>
          </mc:Choice>
          <mc:Fallback>
            <w:pict>
              <v:group id="组合 11" o:spid="_x0000_s1026" o:spt="203" style="position:absolute;left:0pt;margin-left:-1.45pt;margin-top:63.9pt;height:6pt;width:438.5pt;mso-wrap-distance-left:9pt;mso-wrap-distance-right:9pt;rotation:11796480f;z-index:-251656192;mso-width-relative:page;mso-height-relative:page;" coordorigin="1752,3465" coordsize="8402,109" wrapcoords="21600 23760 21600 -1440 99 -1440 99 23760 21600 23760" o:gfxdata="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KuU4iPYAAAACgEAAA8AAAAAAAAAAQAgAAAAIgAAAGRycy9k&#10;b3ducmV2LnhtbFBLAQIUABQAAAAIAIdO4kA0BZk+rQIAADoHAAAOAAAAAAAAAAEAIAAAACcBAABk&#10;cnMvZTJvRG9jLnhtbFBLBQYAAAAABgAGAFkBAABGBgAAAAA=&#10;">
                <o:lock v:ext="edit" aspectratio="f"/>
                <v:shape id="自选图形 12" o:spid="_x0000_s1026" o:spt="32" type="#_x0000_t32" style="position:absolute;left:1761;top:3465;height:0;width:8393;" filled="f" stroked="t" coordsize="21600,21600" o:gfxdata="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u6PvugAAANoA&#10;AAAPAAAAAAAAAAEAIAAAACIAAABkcnMvZG93bnJldi54bWxQSwECFAAUAAAACACHTuJAMy8FnjsA&#10;AAA5AAAAEAAAAAAAAAABACAAAAAJAQAAZHJzL3NoYXBleG1sLnhtbFBLBQYAAAAABgAGAFsBAACz&#10;AwAAAAA=&#10;">
                  <v:fill on="f" focussize="0,0"/>
                  <v:stroke weight="3.25pt" color="#FF0000" joinstyle="round"/>
                  <v:imagedata o:title=""/>
                  <o:lock v:ext="edit" aspectratio="f"/>
                </v:shape>
                <v:shape id="自选图形 13" o:spid="_x0000_s1026" o:spt="32" type="#_x0000_t32" style="position:absolute;left:1752;top:3574;flip:y;height:0;width:8393;" filled="f" stroked="t" coordsize="21600,21600" o:gfxdata="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p3x8b4A&#10;AADaAAAADwAAAAAAAAABACAAAAAiAAAAZHJzL2Rvd25yZXYueG1sUEsBAhQAFAAAAAgAh07iQDMv&#10;BZ47AAAAOQAAABAAAAAAAAAAAQAgAAAADQEAAGRycy9zaGFwZXhtbC54bWxQSwUGAAAAAAYABgBb&#10;AQAAtwMAAAAA&#10;">
                  <v:fill on="f" focussize="0,0"/>
                  <v:stroke weight="1.25pt" color="#FF0000" joinstyle="round"/>
                  <v:imagedata o:title=""/>
                  <o:lock v:ext="edit" aspectratio="f"/>
                </v:shape>
                <w10:wrap type="through"/>
              </v:group>
            </w:pict>
          </mc:Fallback>
        </mc:AlternateContent>
      </w:r>
      <w:r>
        <w:rPr>
          <w:rFonts w:hint="eastAsia" w:ascii="Times New Roman" w:hAnsi="Times New Roman" w:eastAsia="仿宋_GB2312" w:cs="Times New Roman"/>
          <w:sz w:val="32"/>
          <w:szCs w:val="32"/>
          <w:u w:val="none"/>
          <w:lang w:eastAsia="zh-CN"/>
        </w:rPr>
        <w:t>经县政府研究，现根据《中华人民共和国预算法》第六十九条之规定，结合新增财力和举借债务属于增加预算总支出的情形，提请县人大常务委员会审查和批准。</w:t>
      </w:r>
    </w:p>
    <w:p w14:paraId="068B1AC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附件：索县人民政府关于索县本级2024年财政预算调</w:t>
      </w:r>
    </w:p>
    <w:p w14:paraId="33A30B8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1600" w:firstLineChars="500"/>
        <w:jc w:val="both"/>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整方案（草案）的报告</w:t>
      </w:r>
    </w:p>
    <w:p w14:paraId="59DB8E2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65073BC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0211F04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76900E66">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5312" w:firstLineChars="166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索县人民政府</w:t>
      </w:r>
    </w:p>
    <w:p w14:paraId="459CC8B0">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5075" w:firstLineChars="1586"/>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2024年12月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7D9CB39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2F88331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6B99200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569ECBB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4D98A1C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5B6D75E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291286B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4FF55AB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632349E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2BB3B43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3560865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375B343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1968C3D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4419476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03FC81B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p>
    <w:p w14:paraId="641B088E">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索县人民政府</w:t>
      </w:r>
    </w:p>
    <w:p w14:paraId="1CD94CB3">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关于索县本级2024年财政</w:t>
      </w:r>
    </w:p>
    <w:p w14:paraId="7D77E768">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预算调整方案（草案）的报告</w:t>
      </w:r>
    </w:p>
    <w:p w14:paraId="53F9BB8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z w:val="32"/>
          <w:szCs w:val="32"/>
          <w:u w:val="none"/>
          <w:lang w:val="en-US" w:eastAsia="zh-CN"/>
        </w:rPr>
      </w:pPr>
    </w:p>
    <w:p w14:paraId="2097558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——2024年12月19日在索县第十三届人民代表大会</w:t>
      </w:r>
    </w:p>
    <w:p w14:paraId="5FF2F64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常务委员会第二十九次会议上</w:t>
      </w:r>
    </w:p>
    <w:p w14:paraId="1DCA12C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索县财政局局长 朗加曲珍</w:t>
      </w:r>
    </w:p>
    <w:p w14:paraId="6566ABF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z w:val="32"/>
          <w:szCs w:val="32"/>
          <w:u w:val="none"/>
          <w:lang w:val="en-US" w:eastAsia="zh-CN"/>
        </w:rPr>
      </w:pPr>
    </w:p>
    <w:p w14:paraId="62229E11">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主任、副主任、各位委员：</w:t>
      </w:r>
    </w:p>
    <w:p w14:paraId="189D3EA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受县人民政府委托，我向本次会议报告索县本级2024年财政预算调整方案，请予以审议。</w:t>
      </w:r>
    </w:p>
    <w:p w14:paraId="33D39C9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一、索县十三届人民代表大会第五次会议批准的县本级预算安排情况</w:t>
      </w:r>
    </w:p>
    <w:p w14:paraId="7D46363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经索县十三届人民代表大会第五次会议批准：</w:t>
      </w:r>
    </w:p>
    <w:p w14:paraId="7CE8E65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b/>
          <w:bCs/>
          <w:sz w:val="32"/>
          <w:szCs w:val="32"/>
          <w:u w:val="none"/>
          <w:lang w:val="en-US" w:eastAsia="zh-CN"/>
        </w:rPr>
        <w:t>（一）一般公共预算收支安排情况。</w:t>
      </w:r>
      <w:r>
        <w:rPr>
          <w:rFonts w:hint="default" w:ascii="Times New Roman" w:hAnsi="Times New Roman" w:eastAsia="仿宋_GB2312" w:cs="Times New Roman"/>
          <w:sz w:val="32"/>
          <w:szCs w:val="32"/>
          <w:u w:val="none"/>
          <w:lang w:val="en-US" w:eastAsia="zh-CN"/>
        </w:rPr>
        <w:t>县本级一般公共预算收入总量166722.67万元，其中：一般公共预算本级收入5827.12万元，上级补助收入138450.1万元，动用预算稳定调节基金9256.33万元，上年结转收入13189.12万元。一般公共预算支出总量166722.67万元，其中：一般公共预算本级支出164459.51万元，调出资金1961.05万元，上解支出302.11万元。收支平衡。</w:t>
      </w:r>
    </w:p>
    <w:p w14:paraId="08FD79C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b/>
          <w:bCs/>
          <w:sz w:val="32"/>
          <w:szCs w:val="32"/>
          <w:u w:val="none"/>
          <w:lang w:val="en-US" w:eastAsia="zh-CN"/>
        </w:rPr>
        <w:t>（二）</w:t>
      </w:r>
      <w:r>
        <w:rPr>
          <w:rFonts w:hint="default" w:ascii="楷体_GB2312" w:hAnsi="楷体_GB2312" w:eastAsia="楷体_GB2312" w:cs="楷体_GB2312"/>
          <w:b/>
          <w:bCs/>
          <w:sz w:val="32"/>
          <w:szCs w:val="32"/>
          <w:u w:val="none"/>
          <w:lang w:val="en-US" w:eastAsia="zh-CN"/>
        </w:rPr>
        <w:t>政府性基金预算收支安排情况</w:t>
      </w:r>
      <w:r>
        <w:rPr>
          <w:rFonts w:hint="eastAsia" w:ascii="楷体_GB2312" w:hAnsi="楷体_GB2312" w:eastAsia="楷体_GB2312" w:cs="楷体_GB2312"/>
          <w:b/>
          <w:bCs/>
          <w:sz w:val="32"/>
          <w:szCs w:val="32"/>
          <w:u w:val="none"/>
          <w:lang w:val="en-US" w:eastAsia="zh-CN"/>
        </w:rPr>
        <w:t>。</w:t>
      </w:r>
      <w:r>
        <w:rPr>
          <w:rFonts w:hint="default" w:ascii="Times New Roman" w:hAnsi="Times New Roman" w:eastAsia="仿宋_GB2312" w:cs="Times New Roman"/>
          <w:sz w:val="32"/>
          <w:szCs w:val="32"/>
          <w:u w:val="none"/>
          <w:lang w:val="en-US" w:eastAsia="zh-CN"/>
        </w:rPr>
        <w:t>县本级政府性基金预算收入总量5564.68万元，其中：政府性基金预算本级收入1184.05万元，上级补助收入70.98万元，上年结转收入2348.6万元，调入资金1961.05万元。政府性基金预算支出总量5564.68万元。收支平衡。</w:t>
      </w:r>
    </w:p>
    <w:p w14:paraId="7EBD330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b/>
          <w:bCs/>
          <w:sz w:val="32"/>
          <w:szCs w:val="32"/>
          <w:u w:val="none"/>
          <w:lang w:val="en-US" w:eastAsia="zh-CN"/>
        </w:rPr>
        <w:t>（三）</w:t>
      </w:r>
      <w:r>
        <w:rPr>
          <w:rFonts w:hint="default" w:ascii="楷体_GB2312" w:hAnsi="楷体_GB2312" w:eastAsia="楷体_GB2312" w:cs="楷体_GB2312"/>
          <w:b/>
          <w:bCs/>
          <w:sz w:val="32"/>
          <w:szCs w:val="32"/>
          <w:u w:val="none"/>
          <w:lang w:val="en-US" w:eastAsia="zh-CN"/>
        </w:rPr>
        <w:t>国有资本经营预算收支安排情况</w:t>
      </w:r>
      <w:r>
        <w:rPr>
          <w:rFonts w:hint="eastAsia" w:ascii="楷体_GB2312" w:hAnsi="楷体_GB2312" w:eastAsia="楷体_GB2312" w:cs="楷体_GB2312"/>
          <w:b/>
          <w:bCs/>
          <w:sz w:val="32"/>
          <w:szCs w:val="32"/>
          <w:u w:val="none"/>
          <w:lang w:val="en-US" w:eastAsia="zh-CN"/>
        </w:rPr>
        <w:t>。</w:t>
      </w:r>
      <w:r>
        <w:rPr>
          <w:rFonts w:hint="default" w:ascii="Times New Roman" w:hAnsi="Times New Roman" w:eastAsia="仿宋_GB2312" w:cs="Times New Roman"/>
          <w:sz w:val="32"/>
          <w:szCs w:val="32"/>
          <w:u w:val="none"/>
          <w:lang w:val="en-US" w:eastAsia="zh-CN"/>
        </w:rPr>
        <w:t>县本级国有资本经营预算收入总量0.21万元，其中：上级补助收入0.1万元，上年结转收入0.1万元。国有资本经营预算支出总量0.21万元。收支平衡。</w:t>
      </w:r>
    </w:p>
    <w:p w14:paraId="10554B07">
      <w:pPr>
        <w:pStyle w:val="2"/>
        <w:keepNext/>
        <w:keepLines/>
        <w:pageBreakBefore w:val="0"/>
        <w:widowControl w:val="0"/>
        <w:kinsoku/>
        <w:wordWrap/>
        <w:overflowPunct/>
        <w:topLinePunct w:val="0"/>
        <w:autoSpaceDE/>
        <w:autoSpaceDN/>
        <w:bidi w:val="0"/>
        <w:adjustRightInd/>
        <w:snapToGrid/>
        <w:spacing w:before="0" w:after="0" w:line="579" w:lineRule="auto"/>
        <w:ind w:firstLine="643" w:firstLineChars="200"/>
        <w:textAlignment w:val="auto"/>
        <w:rPr>
          <w:rFonts w:hint="eastAsia"/>
          <w:lang w:val="en-US" w:eastAsia="zh-CN"/>
        </w:rPr>
      </w:pPr>
      <w:r>
        <w:rPr>
          <w:rFonts w:hint="eastAsia" w:ascii="楷体_GB2312" w:hAnsi="楷体_GB2312" w:eastAsia="楷体_GB2312" w:cs="楷体_GB2312"/>
          <w:b/>
          <w:bCs/>
          <w:kern w:val="2"/>
          <w:sz w:val="32"/>
          <w:szCs w:val="32"/>
          <w:u w:val="none"/>
          <w:lang w:val="en-US" w:eastAsia="zh-CN" w:bidi="ar-SA"/>
        </w:rPr>
        <w:t>（四）社会保险基金预算收支执行情况。</w:t>
      </w:r>
      <w:r>
        <w:rPr>
          <w:rFonts w:hint="eastAsia" w:ascii="Times New Roman" w:hAnsi="Times New Roman" w:eastAsia="仿宋_GB2312" w:cs="Times New Roman"/>
          <w:b w:val="0"/>
          <w:bCs w:val="0"/>
          <w:kern w:val="2"/>
          <w:sz w:val="32"/>
          <w:szCs w:val="32"/>
          <w:u w:val="none"/>
          <w:lang w:val="en-US" w:eastAsia="zh-CN" w:bidi="ar-SA"/>
        </w:rPr>
        <w:t>我县无此项预算。</w:t>
      </w:r>
    </w:p>
    <w:p w14:paraId="6D24DF3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黑体" w:hAnsi="黑体" w:eastAsia="黑体" w:cs="黑体"/>
          <w:sz w:val="32"/>
          <w:szCs w:val="32"/>
          <w:u w:val="none"/>
          <w:lang w:val="en-US" w:eastAsia="zh-CN"/>
        </w:rPr>
      </w:pPr>
      <w:r>
        <w:rPr>
          <w:rFonts w:hint="default" w:ascii="黑体" w:hAnsi="黑体" w:eastAsia="黑体" w:cs="黑体"/>
          <w:sz w:val="32"/>
          <w:szCs w:val="32"/>
          <w:u w:val="none"/>
          <w:lang w:val="en-US" w:eastAsia="zh-CN"/>
        </w:rPr>
        <w:t>二、索县本级预算执行中收支增减变化及预算调整方案</w:t>
      </w:r>
    </w:p>
    <w:p w14:paraId="69F5DB5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截至2024年11月30日，结合那曲市补助到位和债券发行情况，与索县十三届人民代表大会第五次会议批准的调整预算相比，变化如下：</w:t>
      </w:r>
    </w:p>
    <w:p w14:paraId="4825A7D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楷体_GB2312" w:hAnsi="楷体_GB2312" w:eastAsia="楷体_GB2312" w:cs="楷体_GB2312"/>
          <w:b/>
          <w:bCs/>
          <w:sz w:val="32"/>
          <w:szCs w:val="32"/>
          <w:u w:val="none"/>
          <w:lang w:val="en-US" w:eastAsia="zh-CN"/>
        </w:rPr>
      </w:pPr>
      <w:r>
        <w:rPr>
          <w:rFonts w:hint="default" w:ascii="楷体_GB2312" w:hAnsi="楷体_GB2312" w:eastAsia="楷体_GB2312" w:cs="楷体_GB2312"/>
          <w:b/>
          <w:bCs/>
          <w:sz w:val="32"/>
          <w:szCs w:val="32"/>
          <w:u w:val="none"/>
          <w:lang w:val="en-US" w:eastAsia="zh-CN"/>
        </w:rPr>
        <w:t>（一）一般公共预算</w:t>
      </w:r>
    </w:p>
    <w:p w14:paraId="65AB55A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1</w:t>
      </w:r>
      <w:r>
        <w:rPr>
          <w:rFonts w:hint="eastAsia" w:ascii="Times New Roman" w:hAnsi="Times New Roman" w:eastAsia="仿宋_GB2312" w:cs="Times New Roman"/>
          <w:b/>
          <w:bCs/>
          <w:sz w:val="32"/>
          <w:szCs w:val="32"/>
          <w:u w:val="none"/>
          <w:lang w:val="en-US" w:eastAsia="zh-CN"/>
        </w:rPr>
        <w:t>.</w:t>
      </w:r>
      <w:r>
        <w:rPr>
          <w:rFonts w:hint="default" w:ascii="Times New Roman" w:hAnsi="Times New Roman" w:eastAsia="仿宋_GB2312" w:cs="Times New Roman"/>
          <w:b/>
          <w:bCs/>
          <w:sz w:val="32"/>
          <w:szCs w:val="32"/>
          <w:u w:val="none"/>
          <w:lang w:val="en-US" w:eastAsia="zh-CN"/>
        </w:rPr>
        <w:t>收入方面调整情况。</w:t>
      </w:r>
      <w:r>
        <w:rPr>
          <w:rFonts w:hint="default" w:ascii="Times New Roman" w:hAnsi="Times New Roman" w:eastAsia="仿宋_GB2312" w:cs="Times New Roman"/>
          <w:sz w:val="32"/>
          <w:szCs w:val="32"/>
          <w:u w:val="none"/>
          <w:lang w:val="en-US" w:eastAsia="zh-CN"/>
        </w:rPr>
        <w:t>县本级一般公共预算收入总量调整至243453.3万元，与年初预算相比增加76730.63万元。其中：一般公共预算本级收入减少600.04万元，上级补助收入增加39242.89万元，债务转贷收入增加11465万元，动用预算稳定调节基金和上年结转无变化。具体调整情况如下：</w:t>
      </w:r>
    </w:p>
    <w:p w14:paraId="7052FA0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（1）一般公共预算本级收入完成5227.08万元，减少600.04万元，预计完成年初任务数，具体数据在年终了后再确定。</w:t>
      </w:r>
    </w:p>
    <w:p w14:paraId="36204CB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（2）上级补助收入调整至177692.99万元，增加39242.89万元，其中专项用途资金增加33676.39万元，按照专款专用原则相应支出；财力性补助资金5566.5万元，具体安排情况如下：</w:t>
      </w:r>
    </w:p>
    <w:p w14:paraId="05AC184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①2021-2023年税收返还资金835.5万元，主要用于安可替代工程资金349万元、扩建自来水厂蓄水池资金185万元、江达乡温室大棚（现代化农业发展）资金83.38万元、少数民族发展资金56.12万元等。</w:t>
      </w:r>
    </w:p>
    <w:p w14:paraId="6612606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②2024年县级基本财力保障机制奖补资金1491万元，主要用于2024年11-12月份工资缺口。</w:t>
      </w:r>
    </w:p>
    <w:p w14:paraId="37DB56D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③2023年以奖代返资金3240万元，主要用于集中供暖运行经费250万元、2021-2022年未缴工会经费875.23万元、电子政务外网运维保障经费188.13万元、荣布镇生活垃圾无害化处理设施管理运行资金110万元、热赤公路征地补偿资金185.09万元、第二中学水电消防验收等费用资金107.33万元、索县虫草大酒店旁排污口资金157.44万元、十三五以来部分项目建设工程质量安全鉴定费资金132.56万元等。</w:t>
      </w:r>
    </w:p>
    <w:p w14:paraId="6B2D31B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（3）调入资金26622.78万元，增加26622.78万元，主要是以前年度项目尾款资金以及各项缺口资金。</w:t>
      </w:r>
    </w:p>
    <w:p w14:paraId="25AD354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（4）债务转贷收入调整至11465万元，增加11465万元，主要是10条公路建设项目债券资金11465万元。</w:t>
      </w:r>
    </w:p>
    <w:p w14:paraId="6158FD0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（5）动用预算稳定调节基金9256.33万元，与年初预算一致。</w:t>
      </w:r>
    </w:p>
    <w:p w14:paraId="4E65819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（6）上年结转收入13189.12万元，与年初预算一致。</w:t>
      </w:r>
    </w:p>
    <w:p w14:paraId="7F19872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2</w:t>
      </w:r>
      <w:r>
        <w:rPr>
          <w:rFonts w:hint="eastAsia" w:ascii="Times New Roman" w:hAnsi="Times New Roman" w:eastAsia="仿宋_GB2312" w:cs="Times New Roman"/>
          <w:b/>
          <w:bCs/>
          <w:sz w:val="32"/>
          <w:szCs w:val="32"/>
          <w:u w:val="none"/>
          <w:lang w:val="en-US" w:eastAsia="zh-CN"/>
        </w:rPr>
        <w:t>.</w:t>
      </w:r>
      <w:r>
        <w:rPr>
          <w:rFonts w:hint="default" w:ascii="Times New Roman" w:hAnsi="Times New Roman" w:eastAsia="仿宋_GB2312" w:cs="Times New Roman"/>
          <w:b/>
          <w:bCs/>
          <w:sz w:val="32"/>
          <w:szCs w:val="32"/>
          <w:u w:val="none"/>
          <w:lang w:val="en-US" w:eastAsia="zh-CN"/>
        </w:rPr>
        <w:t>支出方面调整情况。</w:t>
      </w:r>
      <w:r>
        <w:rPr>
          <w:rFonts w:hint="default" w:ascii="Times New Roman" w:hAnsi="Times New Roman" w:eastAsia="仿宋_GB2312" w:cs="Times New Roman"/>
          <w:sz w:val="32"/>
          <w:szCs w:val="32"/>
          <w:u w:val="none"/>
          <w:lang w:val="en-US" w:eastAsia="zh-CN"/>
        </w:rPr>
        <w:t>按照收支平衡的原则，县本级一般公共预算支出总量调整至243453.3万元，增加76730.63万元，具体调整情况如下：</w:t>
      </w:r>
    </w:p>
    <w:p w14:paraId="774CAA9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（1）一般公共预算本级支出调整至187932.81万元，增加23473.3万元，主要原因是加大教育、医疗、社会保障等领域的支出、上级财力性资金的增加等。</w:t>
      </w:r>
    </w:p>
    <w:p w14:paraId="18897BB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（2）结转下年支出52484.38万元，主要是县本级当年指标结转资金部分按照要求结转下年支出，具体数据在年终了后再确定。</w:t>
      </w:r>
    </w:p>
    <w:p w14:paraId="34CB8CD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（3）调出资金调整至1961.05万元，与年初预算一致。  </w:t>
      </w:r>
    </w:p>
    <w:p w14:paraId="728ACF6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上解支出调整至1075.06万元，增加772.95万元。一是2年以上草原生态保护补助奖励结余资金88万元；二是2020年建制县一般债券本金33.29万元；三是2023年农村公路养护市级配套结余资金350.83万元；四是绩效考核200万元；五是县级电网企业医疗保险补缴经费100.83万元。以上五笔资金上解至那曲市财政。</w:t>
      </w:r>
    </w:p>
    <w:p w14:paraId="6DC9A23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根据上述方案调整后，县本级一般公共预算收支总量调整至243453.3万元，收支平衡。</w:t>
      </w:r>
    </w:p>
    <w:p w14:paraId="47C5D21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楷体_GB2312" w:hAnsi="楷体_GB2312" w:eastAsia="楷体_GB2312" w:cs="楷体_GB2312"/>
          <w:b/>
          <w:bCs/>
          <w:sz w:val="32"/>
          <w:szCs w:val="32"/>
          <w:u w:val="none"/>
          <w:lang w:val="en-US" w:eastAsia="zh-CN"/>
        </w:rPr>
      </w:pPr>
      <w:r>
        <w:rPr>
          <w:rFonts w:hint="default" w:ascii="楷体_GB2312" w:hAnsi="楷体_GB2312" w:eastAsia="楷体_GB2312" w:cs="楷体_GB2312"/>
          <w:b/>
          <w:bCs/>
          <w:sz w:val="32"/>
          <w:szCs w:val="32"/>
          <w:u w:val="none"/>
          <w:lang w:val="en-US" w:eastAsia="zh-CN"/>
        </w:rPr>
        <w:t>（二）政府性基金预算</w:t>
      </w:r>
    </w:p>
    <w:p w14:paraId="04ED125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1</w:t>
      </w:r>
      <w:r>
        <w:rPr>
          <w:rFonts w:hint="eastAsia" w:ascii="Times New Roman" w:hAnsi="Times New Roman" w:eastAsia="仿宋_GB2312" w:cs="Times New Roman"/>
          <w:b/>
          <w:bCs/>
          <w:sz w:val="32"/>
          <w:szCs w:val="32"/>
          <w:u w:val="none"/>
          <w:lang w:val="en-US" w:eastAsia="zh-CN"/>
        </w:rPr>
        <w:t>.</w:t>
      </w:r>
      <w:r>
        <w:rPr>
          <w:rFonts w:hint="default" w:ascii="Times New Roman" w:hAnsi="Times New Roman" w:eastAsia="仿宋_GB2312" w:cs="Times New Roman"/>
          <w:b/>
          <w:bCs/>
          <w:sz w:val="32"/>
          <w:szCs w:val="32"/>
          <w:u w:val="none"/>
          <w:lang w:val="en-US" w:eastAsia="zh-CN"/>
        </w:rPr>
        <w:t>收入方面调整情况。</w:t>
      </w:r>
      <w:r>
        <w:rPr>
          <w:rFonts w:hint="default" w:ascii="Times New Roman" w:hAnsi="Times New Roman" w:eastAsia="仿宋_GB2312" w:cs="Times New Roman"/>
          <w:sz w:val="32"/>
          <w:szCs w:val="32"/>
          <w:u w:val="none"/>
          <w:lang w:val="en-US" w:eastAsia="zh-CN"/>
        </w:rPr>
        <w:t>县本级政府性基金预算收入总量调整至6122.43万元，与年初预算相比增加557.75万元。其中：政府性基金预算本级收入减少81.54万元，上级补助收入增加639.29万元，上年结转收入和调入资金无变化。具体调整情况如下：</w:t>
      </w:r>
    </w:p>
    <w:p w14:paraId="482B031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（1）政府性基金预算本级收入调整至1102.51万元，减少81.54万元，预计完成年初任务数，具体数据在年终了后再确定。</w:t>
      </w:r>
    </w:p>
    <w:p w14:paraId="5162557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（2）上级补助收入调整至710.27万元，增加639.29万元，主要增加亚拉镇1居委社区综合服务中心项目资金400万元、625后勤保障专项经费115万元等，按照专款专用原则相应支出。</w:t>
      </w:r>
    </w:p>
    <w:p w14:paraId="2979CA2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（3）上年结转收入2348.6万元，与年初预算一致。  </w:t>
      </w:r>
    </w:p>
    <w:p w14:paraId="3030EF0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（4）调入资金1961.05万元，与年初预算一致。  </w:t>
      </w:r>
    </w:p>
    <w:p w14:paraId="21B306E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2</w:t>
      </w:r>
      <w:r>
        <w:rPr>
          <w:rFonts w:hint="eastAsia" w:ascii="Times New Roman" w:hAnsi="Times New Roman" w:eastAsia="仿宋_GB2312" w:cs="Times New Roman"/>
          <w:b/>
          <w:bCs/>
          <w:sz w:val="32"/>
          <w:szCs w:val="32"/>
          <w:u w:val="none"/>
          <w:lang w:val="en-US" w:eastAsia="zh-CN"/>
        </w:rPr>
        <w:t>.</w:t>
      </w:r>
      <w:r>
        <w:rPr>
          <w:rFonts w:hint="default" w:ascii="Times New Roman" w:hAnsi="Times New Roman" w:eastAsia="仿宋_GB2312" w:cs="Times New Roman"/>
          <w:b/>
          <w:bCs/>
          <w:sz w:val="32"/>
          <w:szCs w:val="32"/>
          <w:u w:val="none"/>
          <w:lang w:val="en-US" w:eastAsia="zh-CN"/>
        </w:rPr>
        <w:t>支出方面调整情况。</w:t>
      </w:r>
      <w:r>
        <w:rPr>
          <w:rFonts w:hint="default" w:ascii="Times New Roman" w:hAnsi="Times New Roman" w:eastAsia="仿宋_GB2312" w:cs="Times New Roman"/>
          <w:sz w:val="32"/>
          <w:szCs w:val="32"/>
          <w:u w:val="none"/>
          <w:lang w:val="en-US" w:eastAsia="zh-CN"/>
        </w:rPr>
        <w:t>按照收支平衡的原则，县本级政府性基金预算支出总量调整至6122.43万元，增加557.75万元，具体调整情况如下：</w:t>
      </w:r>
    </w:p>
    <w:p w14:paraId="4E8BDEE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（1）政府性基金预算本级支出调整至5641.51万元，增加76.83万元，主要是各预算单位积极支出上级补助资金，如家庭牧场“以奖待补”培育扶持资金61.6万元全额支出。</w:t>
      </w:r>
    </w:p>
    <w:p w14:paraId="2988384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（2）结转下年支出480.92万元，主要是县本级当年指标结转资金部分按照要求结转下年支出，具体数据在年终了后再确定。</w:t>
      </w:r>
    </w:p>
    <w:p w14:paraId="6505D12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根据上述方案调整后，县本级政府性基金预算收支总量调整至6122.43万元，收支平衡。</w:t>
      </w:r>
    </w:p>
    <w:p w14:paraId="44CED72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楷体_GB2312" w:hAnsi="楷体_GB2312" w:eastAsia="楷体_GB2312" w:cs="楷体_GB2312"/>
          <w:b/>
          <w:bCs/>
          <w:sz w:val="32"/>
          <w:szCs w:val="32"/>
          <w:u w:val="none"/>
          <w:lang w:val="en-US" w:eastAsia="zh-CN"/>
        </w:rPr>
      </w:pPr>
      <w:r>
        <w:rPr>
          <w:rFonts w:hint="default" w:ascii="楷体_GB2312" w:hAnsi="楷体_GB2312" w:eastAsia="楷体_GB2312" w:cs="楷体_GB2312"/>
          <w:b/>
          <w:bCs/>
          <w:sz w:val="32"/>
          <w:szCs w:val="32"/>
          <w:u w:val="none"/>
          <w:lang w:val="en-US" w:eastAsia="zh-CN"/>
        </w:rPr>
        <w:t>（三）国有资本经营预算</w:t>
      </w:r>
    </w:p>
    <w:p w14:paraId="0F929CF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1</w:t>
      </w:r>
      <w:r>
        <w:rPr>
          <w:rFonts w:hint="eastAsia" w:ascii="Times New Roman" w:hAnsi="Times New Roman" w:eastAsia="仿宋_GB2312" w:cs="Times New Roman"/>
          <w:b/>
          <w:bCs/>
          <w:sz w:val="32"/>
          <w:szCs w:val="32"/>
          <w:u w:val="none"/>
          <w:lang w:val="en-US" w:eastAsia="zh-CN"/>
        </w:rPr>
        <w:t>.</w:t>
      </w:r>
      <w:r>
        <w:rPr>
          <w:rFonts w:hint="default" w:ascii="Times New Roman" w:hAnsi="Times New Roman" w:eastAsia="仿宋_GB2312" w:cs="Times New Roman"/>
          <w:b/>
          <w:bCs/>
          <w:sz w:val="32"/>
          <w:szCs w:val="32"/>
          <w:u w:val="none"/>
          <w:lang w:val="en-US" w:eastAsia="zh-CN"/>
        </w:rPr>
        <w:t>收入方面调整情况。</w:t>
      </w:r>
      <w:r>
        <w:rPr>
          <w:rFonts w:hint="default" w:ascii="Times New Roman" w:hAnsi="Times New Roman" w:eastAsia="仿宋_GB2312" w:cs="Times New Roman"/>
          <w:sz w:val="32"/>
          <w:szCs w:val="32"/>
          <w:u w:val="none"/>
          <w:lang w:val="en-US" w:eastAsia="zh-CN"/>
        </w:rPr>
        <w:t>县本级国有资本经营预算收入总量0.21万元，与年初一致。</w:t>
      </w:r>
    </w:p>
    <w:p w14:paraId="2D58FAE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2</w:t>
      </w:r>
      <w:r>
        <w:rPr>
          <w:rFonts w:hint="eastAsia" w:ascii="Times New Roman" w:hAnsi="Times New Roman" w:eastAsia="仿宋_GB2312" w:cs="Times New Roman"/>
          <w:b/>
          <w:bCs/>
          <w:sz w:val="32"/>
          <w:szCs w:val="32"/>
          <w:u w:val="none"/>
          <w:lang w:val="en-US" w:eastAsia="zh-CN"/>
        </w:rPr>
        <w:t>.</w:t>
      </w:r>
      <w:r>
        <w:rPr>
          <w:rFonts w:hint="default" w:ascii="Times New Roman" w:hAnsi="Times New Roman" w:eastAsia="仿宋_GB2312" w:cs="Times New Roman"/>
          <w:b/>
          <w:bCs/>
          <w:sz w:val="32"/>
          <w:szCs w:val="32"/>
          <w:u w:val="none"/>
          <w:lang w:val="en-US" w:eastAsia="zh-CN"/>
        </w:rPr>
        <w:t>支出方面调整情况。</w:t>
      </w:r>
      <w:r>
        <w:rPr>
          <w:rFonts w:hint="default" w:ascii="Times New Roman" w:hAnsi="Times New Roman" w:eastAsia="仿宋_GB2312" w:cs="Times New Roman"/>
          <w:sz w:val="32"/>
          <w:szCs w:val="32"/>
          <w:u w:val="none"/>
          <w:lang w:val="en-US" w:eastAsia="zh-CN"/>
        </w:rPr>
        <w:t>按照收支平衡的原则，县本级国有资本经营预算支出总量0.21万元，具体调整情况如下：</w:t>
      </w:r>
    </w:p>
    <w:p w14:paraId="5596C9B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（1）国有资本经营预算本级支出调整至0.02万元，减少0.18万元，主要是荣布镇国有企业退休人员已去世，无法兑现资金。</w:t>
      </w:r>
    </w:p>
    <w:p w14:paraId="3D58563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（2）结转下年支出0.18万元，主要是县本级当年指标结转资金部分按照要求结转下年支出，具体数据在年终了后再确定。</w:t>
      </w:r>
    </w:p>
    <w:p w14:paraId="3ED71D9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根据上述方案调整后，县本级国有资本经营预算预算收支总量0.21万元，收支平衡。</w:t>
      </w:r>
    </w:p>
    <w:p w14:paraId="66EB3805">
      <w:pPr>
        <w:pStyle w:val="2"/>
        <w:keepNext/>
        <w:keepLines/>
        <w:pageBreakBefore w:val="0"/>
        <w:widowControl w:val="0"/>
        <w:numPr>
          <w:ilvl w:val="0"/>
          <w:numId w:val="1"/>
        </w:numPr>
        <w:kinsoku/>
        <w:wordWrap/>
        <w:overflowPunct/>
        <w:topLinePunct w:val="0"/>
        <w:autoSpaceDE/>
        <w:autoSpaceDN/>
        <w:bidi w:val="0"/>
        <w:adjustRightInd/>
        <w:snapToGrid/>
        <w:spacing w:before="0" w:after="0" w:line="579" w:lineRule="auto"/>
        <w:ind w:firstLine="643" w:firstLineChars="200"/>
        <w:textAlignment w:val="auto"/>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b/>
          <w:bCs/>
          <w:kern w:val="2"/>
          <w:sz w:val="32"/>
          <w:szCs w:val="32"/>
          <w:u w:val="none"/>
          <w:lang w:val="en-US" w:eastAsia="zh-CN" w:bidi="ar-SA"/>
        </w:rPr>
        <w:t>社会保险基金预算收支执行情况。</w:t>
      </w:r>
      <w:r>
        <w:rPr>
          <w:rFonts w:hint="eastAsia" w:ascii="Times New Roman" w:hAnsi="Times New Roman" w:eastAsia="仿宋_GB2312" w:cs="Times New Roman"/>
          <w:b w:val="0"/>
          <w:bCs w:val="0"/>
          <w:kern w:val="2"/>
          <w:sz w:val="32"/>
          <w:szCs w:val="32"/>
          <w:u w:val="none"/>
          <w:lang w:val="en-US" w:eastAsia="zh-CN" w:bidi="ar-SA"/>
        </w:rPr>
        <w:t>我县无此项预算。</w:t>
      </w:r>
    </w:p>
    <w:p w14:paraId="54A9A375">
      <w:pPr>
        <w:pStyle w:val="2"/>
        <w:keepNext/>
        <w:keepLines/>
        <w:pageBreakBefore w:val="0"/>
        <w:widowControl w:val="0"/>
        <w:numPr>
          <w:ilvl w:val="0"/>
          <w:numId w:val="0"/>
        </w:numPr>
        <w:kinsoku/>
        <w:wordWrap/>
        <w:overflowPunct/>
        <w:topLinePunct w:val="0"/>
        <w:autoSpaceDE/>
        <w:autoSpaceDN/>
        <w:bidi w:val="0"/>
        <w:adjustRightInd/>
        <w:snapToGrid/>
        <w:spacing w:before="0" w:after="0" w:line="579" w:lineRule="auto"/>
        <w:ind w:firstLine="640" w:firstLineChars="200"/>
        <w:textAlignment w:val="auto"/>
        <w:rPr>
          <w:rFonts w:hint="default" w:ascii="Times New Roman" w:hAnsi="Times New Roman" w:eastAsia="仿宋_GB2312" w:cs="Times New Roman"/>
          <w:b w:val="0"/>
          <w:bCs w:val="0"/>
          <w:kern w:val="2"/>
          <w:sz w:val="32"/>
          <w:szCs w:val="32"/>
          <w:u w:val="none"/>
          <w:lang w:val="en-US" w:eastAsia="zh-CN" w:bidi="ar-SA"/>
        </w:rPr>
      </w:pPr>
      <w:r>
        <w:rPr>
          <w:rFonts w:hint="default" w:ascii="Times New Roman" w:hAnsi="Times New Roman" w:eastAsia="仿宋_GB2312" w:cs="Times New Roman"/>
          <w:b w:val="0"/>
          <w:bCs w:val="0"/>
          <w:kern w:val="2"/>
          <w:sz w:val="32"/>
          <w:szCs w:val="32"/>
          <w:u w:val="none"/>
          <w:lang w:val="en-US" w:eastAsia="zh-CN" w:bidi="ar-SA"/>
        </w:rPr>
        <w:t>以上报告，请予以审议。</w:t>
      </w:r>
    </w:p>
    <w:sectPr>
      <w:footerReference r:id="rId3" w:type="default"/>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BZDMT">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36E1">
    <w:pPr>
      <w:pStyle w:val="5"/>
      <w:jc w:val="center"/>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FD869"/>
    <w:multiLevelType w:val="singleLevel"/>
    <w:tmpl w:val="67FFD86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E9"/>
    <w:rsid w:val="00013ABD"/>
    <w:rsid w:val="00021883"/>
    <w:rsid w:val="000315FD"/>
    <w:rsid w:val="00091216"/>
    <w:rsid w:val="000A1FF7"/>
    <w:rsid w:val="000C4B39"/>
    <w:rsid w:val="001C0128"/>
    <w:rsid w:val="001E617E"/>
    <w:rsid w:val="002306BB"/>
    <w:rsid w:val="0023480A"/>
    <w:rsid w:val="002A1F6E"/>
    <w:rsid w:val="00317A86"/>
    <w:rsid w:val="003219D2"/>
    <w:rsid w:val="00321EE0"/>
    <w:rsid w:val="003B4C25"/>
    <w:rsid w:val="003F6616"/>
    <w:rsid w:val="00430D24"/>
    <w:rsid w:val="00486ADE"/>
    <w:rsid w:val="004A289A"/>
    <w:rsid w:val="004D1D1A"/>
    <w:rsid w:val="004E63B3"/>
    <w:rsid w:val="0053626F"/>
    <w:rsid w:val="00572199"/>
    <w:rsid w:val="005B215E"/>
    <w:rsid w:val="005B55EC"/>
    <w:rsid w:val="005F546A"/>
    <w:rsid w:val="005F75EF"/>
    <w:rsid w:val="006263E6"/>
    <w:rsid w:val="006267F7"/>
    <w:rsid w:val="00656EAD"/>
    <w:rsid w:val="006709A5"/>
    <w:rsid w:val="006D64EC"/>
    <w:rsid w:val="0071424A"/>
    <w:rsid w:val="007446D2"/>
    <w:rsid w:val="00755B31"/>
    <w:rsid w:val="00787A80"/>
    <w:rsid w:val="00820343"/>
    <w:rsid w:val="00833E25"/>
    <w:rsid w:val="00844948"/>
    <w:rsid w:val="008547FC"/>
    <w:rsid w:val="00890B5A"/>
    <w:rsid w:val="008C538E"/>
    <w:rsid w:val="008D274F"/>
    <w:rsid w:val="009008DA"/>
    <w:rsid w:val="00963836"/>
    <w:rsid w:val="009834D3"/>
    <w:rsid w:val="00986D4C"/>
    <w:rsid w:val="009B644D"/>
    <w:rsid w:val="00A0417E"/>
    <w:rsid w:val="00A548E9"/>
    <w:rsid w:val="00B91695"/>
    <w:rsid w:val="00C14279"/>
    <w:rsid w:val="00C5032D"/>
    <w:rsid w:val="00C64574"/>
    <w:rsid w:val="00C778C7"/>
    <w:rsid w:val="00CD6AB6"/>
    <w:rsid w:val="00CF0936"/>
    <w:rsid w:val="00DD710A"/>
    <w:rsid w:val="00E6235F"/>
    <w:rsid w:val="00E80069"/>
    <w:rsid w:val="00E8091C"/>
    <w:rsid w:val="00ED40D8"/>
    <w:rsid w:val="00ED7EA9"/>
    <w:rsid w:val="00F503D5"/>
    <w:rsid w:val="00FA094D"/>
    <w:rsid w:val="00FA7EE5"/>
    <w:rsid w:val="00FB682E"/>
    <w:rsid w:val="01261F7A"/>
    <w:rsid w:val="01A70A1E"/>
    <w:rsid w:val="026A0711"/>
    <w:rsid w:val="028A2E77"/>
    <w:rsid w:val="03D90C48"/>
    <w:rsid w:val="03F014C5"/>
    <w:rsid w:val="0430475F"/>
    <w:rsid w:val="04731E0D"/>
    <w:rsid w:val="048A364B"/>
    <w:rsid w:val="04D327CB"/>
    <w:rsid w:val="05F563B0"/>
    <w:rsid w:val="06683541"/>
    <w:rsid w:val="070C0BFE"/>
    <w:rsid w:val="07640189"/>
    <w:rsid w:val="07996EAE"/>
    <w:rsid w:val="07AA61EA"/>
    <w:rsid w:val="07CB30B7"/>
    <w:rsid w:val="07DA63EE"/>
    <w:rsid w:val="085E68AB"/>
    <w:rsid w:val="08C11536"/>
    <w:rsid w:val="08F71B94"/>
    <w:rsid w:val="09080FC2"/>
    <w:rsid w:val="0985267B"/>
    <w:rsid w:val="0999435B"/>
    <w:rsid w:val="099D3C9C"/>
    <w:rsid w:val="09A15918"/>
    <w:rsid w:val="0A093C1C"/>
    <w:rsid w:val="0A185763"/>
    <w:rsid w:val="0A346CBB"/>
    <w:rsid w:val="0A510027"/>
    <w:rsid w:val="0A560604"/>
    <w:rsid w:val="0A575BEE"/>
    <w:rsid w:val="0A9747B3"/>
    <w:rsid w:val="0AC02ABF"/>
    <w:rsid w:val="0AF5581E"/>
    <w:rsid w:val="0B2E0AAC"/>
    <w:rsid w:val="0BA35F3B"/>
    <w:rsid w:val="0BC344E3"/>
    <w:rsid w:val="0BDF4151"/>
    <w:rsid w:val="0C3D7DD1"/>
    <w:rsid w:val="0C5F16E2"/>
    <w:rsid w:val="0CA57C5E"/>
    <w:rsid w:val="0CB91CD6"/>
    <w:rsid w:val="0CB95176"/>
    <w:rsid w:val="0D0A3700"/>
    <w:rsid w:val="0D2A1AC0"/>
    <w:rsid w:val="0D5C0877"/>
    <w:rsid w:val="0D721D39"/>
    <w:rsid w:val="0D8F7932"/>
    <w:rsid w:val="0D952B25"/>
    <w:rsid w:val="0E111359"/>
    <w:rsid w:val="0E1C7489"/>
    <w:rsid w:val="0E4B759D"/>
    <w:rsid w:val="0E5B5118"/>
    <w:rsid w:val="0E6D18D1"/>
    <w:rsid w:val="0ECE6641"/>
    <w:rsid w:val="0EE629C0"/>
    <w:rsid w:val="0F167E17"/>
    <w:rsid w:val="0F271937"/>
    <w:rsid w:val="0FB77211"/>
    <w:rsid w:val="0FC0048C"/>
    <w:rsid w:val="0FED16CC"/>
    <w:rsid w:val="0FFE68FA"/>
    <w:rsid w:val="10104324"/>
    <w:rsid w:val="101464D0"/>
    <w:rsid w:val="101762AE"/>
    <w:rsid w:val="101E643D"/>
    <w:rsid w:val="103550B7"/>
    <w:rsid w:val="104F7A9B"/>
    <w:rsid w:val="105F03F3"/>
    <w:rsid w:val="108558CA"/>
    <w:rsid w:val="110B3D68"/>
    <w:rsid w:val="11496440"/>
    <w:rsid w:val="11A64521"/>
    <w:rsid w:val="11B25654"/>
    <w:rsid w:val="128A6869"/>
    <w:rsid w:val="132376AB"/>
    <w:rsid w:val="13335F3E"/>
    <w:rsid w:val="13A42341"/>
    <w:rsid w:val="140C6FE1"/>
    <w:rsid w:val="141673E2"/>
    <w:rsid w:val="1418153D"/>
    <w:rsid w:val="142201B2"/>
    <w:rsid w:val="142744DE"/>
    <w:rsid w:val="147624AD"/>
    <w:rsid w:val="14A53DE0"/>
    <w:rsid w:val="152D2229"/>
    <w:rsid w:val="153677D0"/>
    <w:rsid w:val="155071F3"/>
    <w:rsid w:val="15624459"/>
    <w:rsid w:val="15AF1436"/>
    <w:rsid w:val="167A0187"/>
    <w:rsid w:val="16905982"/>
    <w:rsid w:val="16A476B9"/>
    <w:rsid w:val="16C852CB"/>
    <w:rsid w:val="16D43DC5"/>
    <w:rsid w:val="16E428FE"/>
    <w:rsid w:val="16E6198F"/>
    <w:rsid w:val="17076FA6"/>
    <w:rsid w:val="17155311"/>
    <w:rsid w:val="171B3F75"/>
    <w:rsid w:val="176607BC"/>
    <w:rsid w:val="176E1CE7"/>
    <w:rsid w:val="17743D90"/>
    <w:rsid w:val="177E0DFE"/>
    <w:rsid w:val="177F5986"/>
    <w:rsid w:val="17882508"/>
    <w:rsid w:val="17D13BC1"/>
    <w:rsid w:val="17FD17DB"/>
    <w:rsid w:val="18B90555"/>
    <w:rsid w:val="18C5421F"/>
    <w:rsid w:val="19223EB5"/>
    <w:rsid w:val="195B2DC8"/>
    <w:rsid w:val="196177E8"/>
    <w:rsid w:val="198C14CB"/>
    <w:rsid w:val="19AA4016"/>
    <w:rsid w:val="19BD10D6"/>
    <w:rsid w:val="19D65C5A"/>
    <w:rsid w:val="19E30E64"/>
    <w:rsid w:val="19EB0DFA"/>
    <w:rsid w:val="1A130575"/>
    <w:rsid w:val="1A9A31B7"/>
    <w:rsid w:val="1AA57896"/>
    <w:rsid w:val="1B5E1E96"/>
    <w:rsid w:val="1BDD38CF"/>
    <w:rsid w:val="1C1635DA"/>
    <w:rsid w:val="1C282C80"/>
    <w:rsid w:val="1C5B2C4A"/>
    <w:rsid w:val="1C83109A"/>
    <w:rsid w:val="1D214D3B"/>
    <w:rsid w:val="1D310D32"/>
    <w:rsid w:val="1D455637"/>
    <w:rsid w:val="1D4E1D48"/>
    <w:rsid w:val="1DAD51D1"/>
    <w:rsid w:val="1E057960"/>
    <w:rsid w:val="1E1A7AC9"/>
    <w:rsid w:val="1E28249E"/>
    <w:rsid w:val="1E2D583A"/>
    <w:rsid w:val="1E4B4F86"/>
    <w:rsid w:val="1E4D156E"/>
    <w:rsid w:val="1E64285A"/>
    <w:rsid w:val="1E745A7E"/>
    <w:rsid w:val="1F181338"/>
    <w:rsid w:val="1F22264F"/>
    <w:rsid w:val="1F4460C3"/>
    <w:rsid w:val="1F4E49ED"/>
    <w:rsid w:val="1F5E1314"/>
    <w:rsid w:val="1F921B46"/>
    <w:rsid w:val="1FDC073B"/>
    <w:rsid w:val="202D0906"/>
    <w:rsid w:val="20370FB0"/>
    <w:rsid w:val="20604C75"/>
    <w:rsid w:val="20A26BD0"/>
    <w:rsid w:val="20FE2F93"/>
    <w:rsid w:val="216F67AC"/>
    <w:rsid w:val="218814E9"/>
    <w:rsid w:val="21B71373"/>
    <w:rsid w:val="21FD3C50"/>
    <w:rsid w:val="22497659"/>
    <w:rsid w:val="22E85655"/>
    <w:rsid w:val="22EC1861"/>
    <w:rsid w:val="23824A3C"/>
    <w:rsid w:val="238C1DBA"/>
    <w:rsid w:val="23A25FAB"/>
    <w:rsid w:val="23F34D23"/>
    <w:rsid w:val="24423CC0"/>
    <w:rsid w:val="244A6F5E"/>
    <w:rsid w:val="245545DB"/>
    <w:rsid w:val="246E3C43"/>
    <w:rsid w:val="248B3255"/>
    <w:rsid w:val="24E62A06"/>
    <w:rsid w:val="25025A8F"/>
    <w:rsid w:val="25741D1B"/>
    <w:rsid w:val="2587708C"/>
    <w:rsid w:val="26353D96"/>
    <w:rsid w:val="26403C2A"/>
    <w:rsid w:val="26553315"/>
    <w:rsid w:val="265E22A2"/>
    <w:rsid w:val="26645ABB"/>
    <w:rsid w:val="26D52087"/>
    <w:rsid w:val="26D80BFF"/>
    <w:rsid w:val="27252CD1"/>
    <w:rsid w:val="273A7EB6"/>
    <w:rsid w:val="27464326"/>
    <w:rsid w:val="276A45D3"/>
    <w:rsid w:val="27C943C7"/>
    <w:rsid w:val="2826300B"/>
    <w:rsid w:val="28325280"/>
    <w:rsid w:val="285436F1"/>
    <w:rsid w:val="28577593"/>
    <w:rsid w:val="28F65CB6"/>
    <w:rsid w:val="29045D0C"/>
    <w:rsid w:val="29707171"/>
    <w:rsid w:val="29900109"/>
    <w:rsid w:val="29955FB3"/>
    <w:rsid w:val="299C05B6"/>
    <w:rsid w:val="29AC0529"/>
    <w:rsid w:val="29CC03FB"/>
    <w:rsid w:val="29DC484D"/>
    <w:rsid w:val="2A264104"/>
    <w:rsid w:val="2A2C613C"/>
    <w:rsid w:val="2A3161D9"/>
    <w:rsid w:val="2A323EC6"/>
    <w:rsid w:val="2A6F580F"/>
    <w:rsid w:val="2AC76710"/>
    <w:rsid w:val="2B251696"/>
    <w:rsid w:val="2B5C127F"/>
    <w:rsid w:val="2B7F2EE3"/>
    <w:rsid w:val="2BA01847"/>
    <w:rsid w:val="2CCF413D"/>
    <w:rsid w:val="2D1779E5"/>
    <w:rsid w:val="2D3435BC"/>
    <w:rsid w:val="2DB31145"/>
    <w:rsid w:val="2DE101F8"/>
    <w:rsid w:val="2E1C41B6"/>
    <w:rsid w:val="2E233FB5"/>
    <w:rsid w:val="2E3727FD"/>
    <w:rsid w:val="2E765CA9"/>
    <w:rsid w:val="2E9545E7"/>
    <w:rsid w:val="2E993A25"/>
    <w:rsid w:val="2EA91317"/>
    <w:rsid w:val="2FAE289A"/>
    <w:rsid w:val="2FE56A97"/>
    <w:rsid w:val="2FEF1FF8"/>
    <w:rsid w:val="2FFB527D"/>
    <w:rsid w:val="3001191C"/>
    <w:rsid w:val="30080226"/>
    <w:rsid w:val="30B67644"/>
    <w:rsid w:val="30F32B49"/>
    <w:rsid w:val="31310F52"/>
    <w:rsid w:val="31523E16"/>
    <w:rsid w:val="315D7208"/>
    <w:rsid w:val="317F9AC1"/>
    <w:rsid w:val="3195744E"/>
    <w:rsid w:val="31AB74DC"/>
    <w:rsid w:val="31BB2A7B"/>
    <w:rsid w:val="32114AB1"/>
    <w:rsid w:val="32355995"/>
    <w:rsid w:val="3239479B"/>
    <w:rsid w:val="324308BB"/>
    <w:rsid w:val="328076C4"/>
    <w:rsid w:val="32C0429E"/>
    <w:rsid w:val="32FD1432"/>
    <w:rsid w:val="32FD2546"/>
    <w:rsid w:val="33315137"/>
    <w:rsid w:val="335A03D1"/>
    <w:rsid w:val="33B643CD"/>
    <w:rsid w:val="33B7493F"/>
    <w:rsid w:val="34353405"/>
    <w:rsid w:val="34635858"/>
    <w:rsid w:val="34734157"/>
    <w:rsid w:val="34AB2254"/>
    <w:rsid w:val="34C77D9A"/>
    <w:rsid w:val="34CB68EC"/>
    <w:rsid w:val="35134760"/>
    <w:rsid w:val="35485DF4"/>
    <w:rsid w:val="35651838"/>
    <w:rsid w:val="357B19B4"/>
    <w:rsid w:val="35854242"/>
    <w:rsid w:val="35A6251D"/>
    <w:rsid w:val="35BA12E0"/>
    <w:rsid w:val="35C26DFE"/>
    <w:rsid w:val="363B7DDE"/>
    <w:rsid w:val="368A35EB"/>
    <w:rsid w:val="369F0428"/>
    <w:rsid w:val="36D76CF7"/>
    <w:rsid w:val="36DB177F"/>
    <w:rsid w:val="37225873"/>
    <w:rsid w:val="37273609"/>
    <w:rsid w:val="373D3FE3"/>
    <w:rsid w:val="37A528AC"/>
    <w:rsid w:val="37AE1C4B"/>
    <w:rsid w:val="38043037"/>
    <w:rsid w:val="381A1639"/>
    <w:rsid w:val="3829677A"/>
    <w:rsid w:val="38580FA7"/>
    <w:rsid w:val="38A41484"/>
    <w:rsid w:val="38AE64FA"/>
    <w:rsid w:val="38DA5361"/>
    <w:rsid w:val="38EA5F93"/>
    <w:rsid w:val="38F34681"/>
    <w:rsid w:val="397917E1"/>
    <w:rsid w:val="39A729C8"/>
    <w:rsid w:val="39B9076A"/>
    <w:rsid w:val="39E75CC8"/>
    <w:rsid w:val="39F7676D"/>
    <w:rsid w:val="39FC1517"/>
    <w:rsid w:val="39FE70D0"/>
    <w:rsid w:val="3A1B3C54"/>
    <w:rsid w:val="3A4D557F"/>
    <w:rsid w:val="3A7EACB8"/>
    <w:rsid w:val="3AAE3586"/>
    <w:rsid w:val="3AB54A29"/>
    <w:rsid w:val="3AE02B0E"/>
    <w:rsid w:val="3AE17D1C"/>
    <w:rsid w:val="3B507E93"/>
    <w:rsid w:val="3B642A98"/>
    <w:rsid w:val="3B6F2DA5"/>
    <w:rsid w:val="3B73040C"/>
    <w:rsid w:val="3BA110A9"/>
    <w:rsid w:val="3BDB7FE5"/>
    <w:rsid w:val="3BE444B9"/>
    <w:rsid w:val="3C064DC8"/>
    <w:rsid w:val="3C1D1B4A"/>
    <w:rsid w:val="3C273FF1"/>
    <w:rsid w:val="3C652016"/>
    <w:rsid w:val="3C956E89"/>
    <w:rsid w:val="3C98495A"/>
    <w:rsid w:val="3CB15717"/>
    <w:rsid w:val="3D2F1113"/>
    <w:rsid w:val="3DC66FE6"/>
    <w:rsid w:val="3DE3023E"/>
    <w:rsid w:val="3DF73D40"/>
    <w:rsid w:val="3E1E22D9"/>
    <w:rsid w:val="3E2E6D20"/>
    <w:rsid w:val="3E60052A"/>
    <w:rsid w:val="3ED458AC"/>
    <w:rsid w:val="3EE220F5"/>
    <w:rsid w:val="3EFC7E18"/>
    <w:rsid w:val="3F4A53D4"/>
    <w:rsid w:val="3F6662FE"/>
    <w:rsid w:val="3F6E0095"/>
    <w:rsid w:val="3F774397"/>
    <w:rsid w:val="3F785E1C"/>
    <w:rsid w:val="3FCB5F3F"/>
    <w:rsid w:val="3FE112BC"/>
    <w:rsid w:val="3FE5201C"/>
    <w:rsid w:val="3FFB781F"/>
    <w:rsid w:val="400B7F47"/>
    <w:rsid w:val="40834577"/>
    <w:rsid w:val="40BC327D"/>
    <w:rsid w:val="40CE0251"/>
    <w:rsid w:val="40DA3B20"/>
    <w:rsid w:val="40DB679A"/>
    <w:rsid w:val="40EA7F66"/>
    <w:rsid w:val="416C445C"/>
    <w:rsid w:val="417A6A2F"/>
    <w:rsid w:val="41FF2F0B"/>
    <w:rsid w:val="42A012A1"/>
    <w:rsid w:val="42EF4E98"/>
    <w:rsid w:val="42F0011C"/>
    <w:rsid w:val="43236F7C"/>
    <w:rsid w:val="434B5B2D"/>
    <w:rsid w:val="4370769A"/>
    <w:rsid w:val="43BB3E54"/>
    <w:rsid w:val="43C12CE1"/>
    <w:rsid w:val="43C302FC"/>
    <w:rsid w:val="43D134AE"/>
    <w:rsid w:val="43FB7BCB"/>
    <w:rsid w:val="43FD396C"/>
    <w:rsid w:val="44175D7A"/>
    <w:rsid w:val="441D7939"/>
    <w:rsid w:val="444F1D35"/>
    <w:rsid w:val="448A1BB7"/>
    <w:rsid w:val="44C01BBA"/>
    <w:rsid w:val="450A0AC9"/>
    <w:rsid w:val="454129B5"/>
    <w:rsid w:val="4563469A"/>
    <w:rsid w:val="4566200C"/>
    <w:rsid w:val="45797215"/>
    <w:rsid w:val="45904112"/>
    <w:rsid w:val="45C11212"/>
    <w:rsid w:val="45EB4BE0"/>
    <w:rsid w:val="4610086C"/>
    <w:rsid w:val="46907C44"/>
    <w:rsid w:val="469762FA"/>
    <w:rsid w:val="47061173"/>
    <w:rsid w:val="470F7DD7"/>
    <w:rsid w:val="478E754E"/>
    <w:rsid w:val="47CC0787"/>
    <w:rsid w:val="47D564EA"/>
    <w:rsid w:val="47D86E5E"/>
    <w:rsid w:val="47DD3EFC"/>
    <w:rsid w:val="48277B8C"/>
    <w:rsid w:val="483C4CAB"/>
    <w:rsid w:val="48473CE1"/>
    <w:rsid w:val="486A4AB9"/>
    <w:rsid w:val="48E82736"/>
    <w:rsid w:val="48FD47F9"/>
    <w:rsid w:val="492140ED"/>
    <w:rsid w:val="49275294"/>
    <w:rsid w:val="49333EB7"/>
    <w:rsid w:val="4A2A79CE"/>
    <w:rsid w:val="4A5D6818"/>
    <w:rsid w:val="4A5D6D35"/>
    <w:rsid w:val="4AA41DF3"/>
    <w:rsid w:val="4AFE4505"/>
    <w:rsid w:val="4B44369A"/>
    <w:rsid w:val="4B901B04"/>
    <w:rsid w:val="4BA40B94"/>
    <w:rsid w:val="4BC22B67"/>
    <w:rsid w:val="4BD8377F"/>
    <w:rsid w:val="4BE97AB9"/>
    <w:rsid w:val="4C202505"/>
    <w:rsid w:val="4C604AF9"/>
    <w:rsid w:val="4C7C52EE"/>
    <w:rsid w:val="4C7D5F44"/>
    <w:rsid w:val="4C9330F7"/>
    <w:rsid w:val="4CC208AC"/>
    <w:rsid w:val="4CC9704F"/>
    <w:rsid w:val="4D6010D4"/>
    <w:rsid w:val="4D637BB8"/>
    <w:rsid w:val="4DDE3910"/>
    <w:rsid w:val="4E0E52FC"/>
    <w:rsid w:val="4E40012C"/>
    <w:rsid w:val="4EC610C6"/>
    <w:rsid w:val="4ED14262"/>
    <w:rsid w:val="4EF01793"/>
    <w:rsid w:val="4EF653FD"/>
    <w:rsid w:val="4F122393"/>
    <w:rsid w:val="4F203D8E"/>
    <w:rsid w:val="4F4F7AE3"/>
    <w:rsid w:val="4F714BAB"/>
    <w:rsid w:val="4FFB9008"/>
    <w:rsid w:val="50182829"/>
    <w:rsid w:val="50645169"/>
    <w:rsid w:val="50AA4973"/>
    <w:rsid w:val="50C51A8B"/>
    <w:rsid w:val="512F279F"/>
    <w:rsid w:val="515936C6"/>
    <w:rsid w:val="515973F3"/>
    <w:rsid w:val="51674D8E"/>
    <w:rsid w:val="51832662"/>
    <w:rsid w:val="51E01CE0"/>
    <w:rsid w:val="51FC31A4"/>
    <w:rsid w:val="524B6ABD"/>
    <w:rsid w:val="525219A5"/>
    <w:rsid w:val="52A53006"/>
    <w:rsid w:val="52CE4135"/>
    <w:rsid w:val="52E76C8E"/>
    <w:rsid w:val="52F7532B"/>
    <w:rsid w:val="53495894"/>
    <w:rsid w:val="5379103C"/>
    <w:rsid w:val="539A0622"/>
    <w:rsid w:val="541D04B5"/>
    <w:rsid w:val="54352627"/>
    <w:rsid w:val="545E1750"/>
    <w:rsid w:val="546526A5"/>
    <w:rsid w:val="54743E88"/>
    <w:rsid w:val="549A355C"/>
    <w:rsid w:val="54C71846"/>
    <w:rsid w:val="55345C09"/>
    <w:rsid w:val="553D0FBF"/>
    <w:rsid w:val="55F93ADA"/>
    <w:rsid w:val="56067BF2"/>
    <w:rsid w:val="562322F7"/>
    <w:rsid w:val="56720E5F"/>
    <w:rsid w:val="567B01D9"/>
    <w:rsid w:val="5688313B"/>
    <w:rsid w:val="56A41ECC"/>
    <w:rsid w:val="56A86294"/>
    <w:rsid w:val="56B9646D"/>
    <w:rsid w:val="56D84718"/>
    <w:rsid w:val="56E967E3"/>
    <w:rsid w:val="572A17C5"/>
    <w:rsid w:val="574F1BF3"/>
    <w:rsid w:val="57906689"/>
    <w:rsid w:val="57C160A0"/>
    <w:rsid w:val="57DE34F3"/>
    <w:rsid w:val="57EA4F96"/>
    <w:rsid w:val="58A92785"/>
    <w:rsid w:val="58D37D27"/>
    <w:rsid w:val="5915306A"/>
    <w:rsid w:val="59350C52"/>
    <w:rsid w:val="5974199D"/>
    <w:rsid w:val="59A457A5"/>
    <w:rsid w:val="59B21D2D"/>
    <w:rsid w:val="5A2B7D20"/>
    <w:rsid w:val="5A330013"/>
    <w:rsid w:val="5A372459"/>
    <w:rsid w:val="5A420C40"/>
    <w:rsid w:val="5A673BA2"/>
    <w:rsid w:val="5AAE4C24"/>
    <w:rsid w:val="5B241277"/>
    <w:rsid w:val="5B5E73BA"/>
    <w:rsid w:val="5BB46736"/>
    <w:rsid w:val="5BD377A0"/>
    <w:rsid w:val="5BF82123"/>
    <w:rsid w:val="5BFB0EBD"/>
    <w:rsid w:val="5C8D5526"/>
    <w:rsid w:val="5CF505A2"/>
    <w:rsid w:val="5CFFB7FE"/>
    <w:rsid w:val="5D1C545D"/>
    <w:rsid w:val="5D324FC6"/>
    <w:rsid w:val="5D3E3EB3"/>
    <w:rsid w:val="5D5B1D4A"/>
    <w:rsid w:val="5DC60FED"/>
    <w:rsid w:val="5DD23C77"/>
    <w:rsid w:val="5E2263C3"/>
    <w:rsid w:val="5E357E49"/>
    <w:rsid w:val="5E905FCB"/>
    <w:rsid w:val="5E9D0D20"/>
    <w:rsid w:val="5EB23B11"/>
    <w:rsid w:val="5EFC1B2C"/>
    <w:rsid w:val="5F281DC3"/>
    <w:rsid w:val="5F590F06"/>
    <w:rsid w:val="5F6D3FBA"/>
    <w:rsid w:val="5F9E73D5"/>
    <w:rsid w:val="5FEE6AB7"/>
    <w:rsid w:val="5FFE496D"/>
    <w:rsid w:val="5FFE71EC"/>
    <w:rsid w:val="6063366F"/>
    <w:rsid w:val="60726265"/>
    <w:rsid w:val="60920037"/>
    <w:rsid w:val="60981F24"/>
    <w:rsid w:val="60C938B8"/>
    <w:rsid w:val="60C9441E"/>
    <w:rsid w:val="61110076"/>
    <w:rsid w:val="611C2252"/>
    <w:rsid w:val="615D4EAF"/>
    <w:rsid w:val="616A48C9"/>
    <w:rsid w:val="6197014A"/>
    <w:rsid w:val="61B12DB8"/>
    <w:rsid w:val="61BE3F9C"/>
    <w:rsid w:val="620754AF"/>
    <w:rsid w:val="624E17CE"/>
    <w:rsid w:val="62563FAA"/>
    <w:rsid w:val="627B7368"/>
    <w:rsid w:val="6291029A"/>
    <w:rsid w:val="62A02BEF"/>
    <w:rsid w:val="63135B5A"/>
    <w:rsid w:val="63C35722"/>
    <w:rsid w:val="63E90904"/>
    <w:rsid w:val="63FB2FC4"/>
    <w:rsid w:val="642B37BC"/>
    <w:rsid w:val="64837625"/>
    <w:rsid w:val="64A14871"/>
    <w:rsid w:val="64AC36DC"/>
    <w:rsid w:val="64D17D65"/>
    <w:rsid w:val="64DC59B9"/>
    <w:rsid w:val="64E06AAD"/>
    <w:rsid w:val="6515429B"/>
    <w:rsid w:val="65741E0F"/>
    <w:rsid w:val="65CE7761"/>
    <w:rsid w:val="65F9756E"/>
    <w:rsid w:val="667438B5"/>
    <w:rsid w:val="6679115C"/>
    <w:rsid w:val="6685406B"/>
    <w:rsid w:val="66A27EEC"/>
    <w:rsid w:val="66A478EE"/>
    <w:rsid w:val="66A74172"/>
    <w:rsid w:val="66B250D2"/>
    <w:rsid w:val="66BE6160"/>
    <w:rsid w:val="66FC6EE6"/>
    <w:rsid w:val="67170DD5"/>
    <w:rsid w:val="67262349"/>
    <w:rsid w:val="67274AF3"/>
    <w:rsid w:val="67302385"/>
    <w:rsid w:val="67370BD1"/>
    <w:rsid w:val="674A641F"/>
    <w:rsid w:val="677943D2"/>
    <w:rsid w:val="678740B7"/>
    <w:rsid w:val="678A373C"/>
    <w:rsid w:val="68045310"/>
    <w:rsid w:val="6805067D"/>
    <w:rsid w:val="680B1649"/>
    <w:rsid w:val="683D68AF"/>
    <w:rsid w:val="6894647F"/>
    <w:rsid w:val="68967445"/>
    <w:rsid w:val="690349C0"/>
    <w:rsid w:val="69150723"/>
    <w:rsid w:val="69292BF6"/>
    <w:rsid w:val="69EF4231"/>
    <w:rsid w:val="6A552836"/>
    <w:rsid w:val="6A847550"/>
    <w:rsid w:val="6ABF3E12"/>
    <w:rsid w:val="6AD403BE"/>
    <w:rsid w:val="6AF1725B"/>
    <w:rsid w:val="6AF951B4"/>
    <w:rsid w:val="6B086B12"/>
    <w:rsid w:val="6B74791D"/>
    <w:rsid w:val="6B7746FF"/>
    <w:rsid w:val="6B8959EC"/>
    <w:rsid w:val="6B9F2C68"/>
    <w:rsid w:val="6C050BF5"/>
    <w:rsid w:val="6C2F67EF"/>
    <w:rsid w:val="6C444BA4"/>
    <w:rsid w:val="6C6C1538"/>
    <w:rsid w:val="6C854123"/>
    <w:rsid w:val="6CEF5026"/>
    <w:rsid w:val="6D0864C5"/>
    <w:rsid w:val="6D187437"/>
    <w:rsid w:val="6D331B7E"/>
    <w:rsid w:val="6D4362AF"/>
    <w:rsid w:val="6D563725"/>
    <w:rsid w:val="6D74749F"/>
    <w:rsid w:val="6DB100B4"/>
    <w:rsid w:val="6DF90A79"/>
    <w:rsid w:val="6DFC5488"/>
    <w:rsid w:val="6E3B45CB"/>
    <w:rsid w:val="6E3E12F3"/>
    <w:rsid w:val="6E4D34B9"/>
    <w:rsid w:val="6E7B4D05"/>
    <w:rsid w:val="6E7F066C"/>
    <w:rsid w:val="6EFF7133"/>
    <w:rsid w:val="6F37D684"/>
    <w:rsid w:val="6F412371"/>
    <w:rsid w:val="6F745F08"/>
    <w:rsid w:val="6F7DFAF4"/>
    <w:rsid w:val="6F8F2166"/>
    <w:rsid w:val="701F1841"/>
    <w:rsid w:val="70774C0B"/>
    <w:rsid w:val="70DA5DBF"/>
    <w:rsid w:val="7177010A"/>
    <w:rsid w:val="71D04B2C"/>
    <w:rsid w:val="71E13773"/>
    <w:rsid w:val="72145659"/>
    <w:rsid w:val="7238076F"/>
    <w:rsid w:val="7259690B"/>
    <w:rsid w:val="72FB5E5D"/>
    <w:rsid w:val="730F7033"/>
    <w:rsid w:val="735F23B2"/>
    <w:rsid w:val="73660B29"/>
    <w:rsid w:val="73703ECC"/>
    <w:rsid w:val="73784F41"/>
    <w:rsid w:val="73B53004"/>
    <w:rsid w:val="73DF7565"/>
    <w:rsid w:val="73E66F09"/>
    <w:rsid w:val="744E385B"/>
    <w:rsid w:val="7451356E"/>
    <w:rsid w:val="747539B9"/>
    <w:rsid w:val="74864E83"/>
    <w:rsid w:val="74B62ACE"/>
    <w:rsid w:val="74B95A6B"/>
    <w:rsid w:val="74C071CE"/>
    <w:rsid w:val="74F6436A"/>
    <w:rsid w:val="75386E6A"/>
    <w:rsid w:val="753B0C55"/>
    <w:rsid w:val="754129EB"/>
    <w:rsid w:val="75473931"/>
    <w:rsid w:val="75C70B22"/>
    <w:rsid w:val="75DE666C"/>
    <w:rsid w:val="75FB497C"/>
    <w:rsid w:val="75FFA230"/>
    <w:rsid w:val="76663717"/>
    <w:rsid w:val="767B338F"/>
    <w:rsid w:val="76BC31AB"/>
    <w:rsid w:val="76CB2039"/>
    <w:rsid w:val="76F63143"/>
    <w:rsid w:val="76F87DA0"/>
    <w:rsid w:val="77520AA1"/>
    <w:rsid w:val="775F0106"/>
    <w:rsid w:val="777A2EB5"/>
    <w:rsid w:val="7792747C"/>
    <w:rsid w:val="779E1AA1"/>
    <w:rsid w:val="77AB53E4"/>
    <w:rsid w:val="77BB2AB0"/>
    <w:rsid w:val="77C3ECD2"/>
    <w:rsid w:val="77F45904"/>
    <w:rsid w:val="77FF6690"/>
    <w:rsid w:val="783B1349"/>
    <w:rsid w:val="78616A43"/>
    <w:rsid w:val="79113AC5"/>
    <w:rsid w:val="79222DA0"/>
    <w:rsid w:val="794D03DA"/>
    <w:rsid w:val="795F2245"/>
    <w:rsid w:val="79AE36EC"/>
    <w:rsid w:val="7A2F6D34"/>
    <w:rsid w:val="7A3650CA"/>
    <w:rsid w:val="7A543163"/>
    <w:rsid w:val="7A7B6827"/>
    <w:rsid w:val="7B202CD8"/>
    <w:rsid w:val="7B532366"/>
    <w:rsid w:val="7B66FFCD"/>
    <w:rsid w:val="7B7ED467"/>
    <w:rsid w:val="7B887530"/>
    <w:rsid w:val="7BBF188B"/>
    <w:rsid w:val="7C1D25EE"/>
    <w:rsid w:val="7C4A3FFE"/>
    <w:rsid w:val="7C7E7B73"/>
    <w:rsid w:val="7C9249BA"/>
    <w:rsid w:val="7CAA29BA"/>
    <w:rsid w:val="7CAE35DF"/>
    <w:rsid w:val="7CB72930"/>
    <w:rsid w:val="7CCB3BCB"/>
    <w:rsid w:val="7CF02660"/>
    <w:rsid w:val="7D0C4C65"/>
    <w:rsid w:val="7D772C7D"/>
    <w:rsid w:val="7DA22E18"/>
    <w:rsid w:val="7DAF4CC1"/>
    <w:rsid w:val="7DF7A9CA"/>
    <w:rsid w:val="7DF90B67"/>
    <w:rsid w:val="7E1F7996"/>
    <w:rsid w:val="7E51308E"/>
    <w:rsid w:val="7E7500D5"/>
    <w:rsid w:val="7E8335A3"/>
    <w:rsid w:val="7E8509B1"/>
    <w:rsid w:val="7E877C57"/>
    <w:rsid w:val="7EAD2822"/>
    <w:rsid w:val="7EC260AC"/>
    <w:rsid w:val="7EDA49D8"/>
    <w:rsid w:val="7EEF27FD"/>
    <w:rsid w:val="7EF150A5"/>
    <w:rsid w:val="7EFF01F1"/>
    <w:rsid w:val="7F046D8C"/>
    <w:rsid w:val="7F1137A4"/>
    <w:rsid w:val="7F263568"/>
    <w:rsid w:val="7F2DC93C"/>
    <w:rsid w:val="7F505150"/>
    <w:rsid w:val="7F5FF9E7"/>
    <w:rsid w:val="7F9B1D9F"/>
    <w:rsid w:val="7FADF897"/>
    <w:rsid w:val="7FFA2398"/>
    <w:rsid w:val="7FFB2EE5"/>
    <w:rsid w:val="9EF529E4"/>
    <w:rsid w:val="9FDF88E1"/>
    <w:rsid w:val="BD9E1F31"/>
    <w:rsid w:val="BFEFF27F"/>
    <w:rsid w:val="C87BAB7B"/>
    <w:rsid w:val="CBE786EA"/>
    <w:rsid w:val="D9FF5506"/>
    <w:rsid w:val="DCB71B13"/>
    <w:rsid w:val="DEFD1A46"/>
    <w:rsid w:val="DEFFCF8E"/>
    <w:rsid w:val="DFB7BE07"/>
    <w:rsid w:val="DFBE449C"/>
    <w:rsid w:val="DFEDBE50"/>
    <w:rsid w:val="DFFD44A0"/>
    <w:rsid w:val="E44E4CF0"/>
    <w:rsid w:val="E46F9C16"/>
    <w:rsid w:val="E7F90ED0"/>
    <w:rsid w:val="E97DF8F0"/>
    <w:rsid w:val="EADFB9A8"/>
    <w:rsid w:val="EF3AFC8A"/>
    <w:rsid w:val="F57FFF52"/>
    <w:rsid w:val="F5B3E9DC"/>
    <w:rsid w:val="F7FD6845"/>
    <w:rsid w:val="F99EC4D5"/>
    <w:rsid w:val="F9FE228E"/>
    <w:rsid w:val="FAF5834F"/>
    <w:rsid w:val="FDFFD0DB"/>
    <w:rsid w:val="FFABA4D5"/>
    <w:rsid w:val="FFADBB6A"/>
    <w:rsid w:val="FFB8310C"/>
    <w:rsid w:val="FFBD5E46"/>
    <w:rsid w:val="FFCBBB1A"/>
    <w:rsid w:val="FFDA78D6"/>
    <w:rsid w:val="FFFE64B5"/>
    <w:rsid w:val="FFFFF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Plain Text"/>
    <w:basedOn w:val="1"/>
    <w:next w:val="1"/>
    <w:unhideWhenUsed/>
    <w:qFormat/>
    <w:uiPriority w:val="99"/>
    <w:rPr>
      <w:rFonts w:hint="eastAsia" w:ascii="宋体" w:hAnsi="Courier New"/>
      <w:szCs w:val="20"/>
    </w:rPr>
  </w:style>
  <w:style w:type="paragraph" w:styleId="4">
    <w:name w:val="Balloon Text"/>
    <w:basedOn w:val="1"/>
    <w:link w:val="12"/>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3"/>
    <w:next w:val="1"/>
    <w:unhideWhenUsed/>
    <w:qFormat/>
    <w:uiPriority w:val="99"/>
    <w:pPr>
      <w:ind w:firstLine="420"/>
    </w:p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Char"/>
    <w:basedOn w:val="11"/>
    <w:link w:val="4"/>
    <w:semiHidden/>
    <w:qFormat/>
    <w:uiPriority w:val="99"/>
    <w:rPr>
      <w:sz w:val="18"/>
      <w:szCs w:val="18"/>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customStyle="1" w:styleId="15">
    <w:name w:val="引文目录1"/>
    <w:basedOn w:val="1"/>
    <w:next w:val="1"/>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2770</Words>
  <Characters>3313</Characters>
  <Lines>2</Lines>
  <Paragraphs>1</Paragraphs>
  <TotalTime>1</TotalTime>
  <ScaleCrop>false</ScaleCrop>
  <LinksUpToDate>false</LinksUpToDate>
  <CharactersWithSpaces>3320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2014-05-02T12:25:00Z</dcterms:created>
  <dc:creator>索政府办</dc:creator>
  <cp:lastModifiedBy>草原上的雄鹰</cp:lastModifiedBy>
  <cp:lastPrinted>2024-12-17T09:52:00Z</cp:lastPrinted>
  <dcterms:modified xsi:type="dcterms:W3CDTF">2025-01-25T05:48:25Z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eyJoZGlkIjoiODM4NGEyZGE3Y2ZiYWFkMjkwOTcxYjIxNzllMTMzNDQiLCJ1c2VySWQiOiIzNDI0NDQwMTIifQ==</vt:lpwstr>
  </property>
  <property fmtid="{D5CDD505-2E9C-101B-9397-08002B2CF9AE}" pid="4" name="ICV">
    <vt:lpwstr>F8F0E454D8184987BD8935196AD86B52_13</vt:lpwstr>
  </property>
</Properties>
</file>